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 xml:space="preserve">MES REUSSITES  -  MARATHON DE L’ORTHOGRAPHE 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</w:t>
      </w:r>
      <w:r w:rsidR="004B44AA">
        <w:rPr>
          <w:b/>
          <w:sz w:val="28"/>
        </w:rPr>
        <w:t>…..     Date : …………..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 xml:space="preserve">Je colorie 1 étage de la fusée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2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3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4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</w:t>
            </w:r>
            <w:bookmarkStart w:id="0" w:name="_GoBack"/>
            <w:bookmarkEnd w:id="0"/>
            <w:r w:rsidRPr="00F63075">
              <w:rPr>
                <w:b/>
                <w:sz w:val="28"/>
              </w:rPr>
              <w:t>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8A0BC" wp14:editId="732B2888">
                  <wp:extent cx="2009775" cy="4221304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03" cy="422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146148" wp14:editId="21E4E5F1">
                  <wp:extent cx="1995347" cy="419100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81" cy="41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561FC5" wp14:editId="340DC4E0">
                  <wp:extent cx="2000250" cy="4201297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04" cy="420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d’étages de la fusée correspondant et dessiner un visage au hublot 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 xml:space="preserve">Je colorie 1 étage de la fusée 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2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entre</w:t>
            </w:r>
            <w:r w:rsidRPr="00820558">
              <w:t xml:space="preserve"> 25% et 50%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3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</w:t>
            </w:r>
            <w:r w:rsidRPr="00820558">
              <w:t>ntre 50% et 75%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4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45D0B"/>
    <w:rsid w:val="00271D32"/>
    <w:rsid w:val="002877AC"/>
    <w:rsid w:val="002D0471"/>
    <w:rsid w:val="003F4A8C"/>
    <w:rsid w:val="004A1ABF"/>
    <w:rsid w:val="004B44AA"/>
    <w:rsid w:val="00586668"/>
    <w:rsid w:val="00633CDF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2018-11-19T15:18:00Z</dcterms:created>
  <dcterms:modified xsi:type="dcterms:W3CDTF">2018-11-19T15:18:00Z</dcterms:modified>
</cp:coreProperties>
</file>